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45" w:rsidRPr="005D5D45" w:rsidRDefault="001421B2" w:rsidP="005D5D45">
      <w:pPr>
        <w:jc w:val="center"/>
        <w:rPr>
          <w:b/>
          <w:sz w:val="40"/>
          <w:szCs w:val="40"/>
          <w:u w:val="single"/>
        </w:rPr>
      </w:pPr>
      <w:r>
        <w:rPr>
          <w:b/>
          <w:sz w:val="40"/>
          <w:szCs w:val="40"/>
          <w:u w:val="single"/>
        </w:rPr>
        <w:t>Aufgabe IV: Preisnachlässe</w:t>
      </w:r>
      <w:bookmarkStart w:id="0" w:name="_GoBack"/>
      <w:bookmarkEnd w:id="0"/>
    </w:p>
    <w:p w:rsidR="00301CDC" w:rsidRDefault="00301CDC">
      <w:r>
        <w:t>Sie engagieren sich als Buchhalter des Club SM an der FH Schmalkalden. Zu ihrem Tätigkeitsfeld gehört die Dokumentation und Bearbeitung sämtlicher anfallenden Geschäftsprozesse. Für die vergangene Woche sind laut Belegen aus dem Kassenbuch folgende Geschäftsfälle angefallen. Bilden Sie alle nötigen Buchungssätze und ers</w:t>
      </w:r>
      <w:r w:rsidR="00C376C1">
        <w:t>tellen Sie die aktuelle Bilanz.</w:t>
      </w:r>
    </w:p>
    <w:tbl>
      <w:tblPr>
        <w:tblStyle w:val="HelleSchattierung"/>
        <w:tblW w:w="0" w:type="auto"/>
        <w:tblLook w:val="04A0" w:firstRow="1" w:lastRow="0" w:firstColumn="1" w:lastColumn="0" w:noHBand="0" w:noVBand="1"/>
      </w:tblPr>
      <w:tblGrid>
        <w:gridCol w:w="2303"/>
        <w:gridCol w:w="767"/>
        <w:gridCol w:w="1536"/>
        <w:gridCol w:w="1535"/>
        <w:gridCol w:w="768"/>
        <w:gridCol w:w="2303"/>
      </w:tblGrid>
      <w:tr w:rsidR="00301CDC" w:rsidTr="00301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gridSpan w:val="2"/>
            <w:tcBorders>
              <w:top w:val="nil"/>
            </w:tcBorders>
          </w:tcPr>
          <w:p w:rsidR="00301CDC" w:rsidRDefault="00301CDC">
            <w:pPr>
              <w:rPr>
                <w:b w:val="0"/>
                <w:bCs w:val="0"/>
              </w:rPr>
            </w:pPr>
            <w:r>
              <w:t>Aktiva</w:t>
            </w:r>
          </w:p>
        </w:tc>
        <w:tc>
          <w:tcPr>
            <w:tcW w:w="3071" w:type="dxa"/>
            <w:gridSpan w:val="2"/>
            <w:tcBorders>
              <w:top w:val="nil"/>
            </w:tcBorders>
            <w:vAlign w:val="center"/>
          </w:tcPr>
          <w:p w:rsidR="00301CDC" w:rsidRDefault="00301CDC" w:rsidP="00301CDC">
            <w:pPr>
              <w:jc w:val="center"/>
              <w:cnfStyle w:val="100000000000" w:firstRow="1" w:lastRow="0" w:firstColumn="0" w:lastColumn="0" w:oddVBand="0" w:evenVBand="0" w:oddHBand="0" w:evenHBand="0" w:firstRowFirstColumn="0" w:firstRowLastColumn="0" w:lastRowFirstColumn="0" w:lastRowLastColumn="0"/>
            </w:pPr>
            <w:r>
              <w:t>Bilanz zum 10.04.2013</w:t>
            </w:r>
          </w:p>
        </w:tc>
        <w:tc>
          <w:tcPr>
            <w:tcW w:w="3071" w:type="dxa"/>
            <w:gridSpan w:val="2"/>
            <w:tcBorders>
              <w:top w:val="nil"/>
            </w:tcBorders>
          </w:tcPr>
          <w:p w:rsidR="00301CDC" w:rsidRDefault="00301CDC" w:rsidP="00301CDC">
            <w:pPr>
              <w:jc w:val="right"/>
              <w:cnfStyle w:val="100000000000" w:firstRow="1" w:lastRow="0" w:firstColumn="0" w:lastColumn="0" w:oddVBand="0" w:evenVBand="0" w:oddHBand="0" w:evenHBand="0" w:firstRowFirstColumn="0" w:firstRowLastColumn="0" w:lastRowFirstColumn="0" w:lastRowLastColumn="0"/>
            </w:pPr>
            <w:r>
              <w:t>Passiva</w:t>
            </w:r>
          </w:p>
        </w:tc>
      </w:tr>
      <w:tr w:rsidR="00301CDC" w:rsidTr="00991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301CDC" w:rsidRPr="00301CDC" w:rsidRDefault="00301CDC">
            <w:pPr>
              <w:rPr>
                <w:bCs w:val="0"/>
              </w:rPr>
            </w:pPr>
            <w:r w:rsidRPr="00301CDC">
              <w:rPr>
                <w:b w:val="0"/>
              </w:rPr>
              <w:t>BGA</w:t>
            </w:r>
          </w:p>
        </w:tc>
        <w:tc>
          <w:tcPr>
            <w:tcW w:w="2303" w:type="dxa"/>
            <w:gridSpan w:val="2"/>
            <w:tcBorders>
              <w:top w:val="nil"/>
              <w:right w:val="single" w:sz="8" w:space="0" w:color="000000" w:themeColor="text1"/>
            </w:tcBorders>
          </w:tcPr>
          <w:p w:rsidR="00301CDC" w:rsidRPr="009910CE" w:rsidRDefault="009910CE" w:rsidP="009910CE">
            <w:pPr>
              <w:jc w:val="right"/>
              <w:cnfStyle w:val="000000100000" w:firstRow="0" w:lastRow="0" w:firstColumn="0" w:lastColumn="0" w:oddVBand="0" w:evenVBand="0" w:oddHBand="1" w:evenHBand="0" w:firstRowFirstColumn="0" w:firstRowLastColumn="0" w:lastRowFirstColumn="0" w:lastRowLastColumn="0"/>
            </w:pPr>
            <w:r w:rsidRPr="009910CE">
              <w:t>6.400,-€</w:t>
            </w:r>
          </w:p>
        </w:tc>
        <w:tc>
          <w:tcPr>
            <w:tcW w:w="2303" w:type="dxa"/>
            <w:gridSpan w:val="2"/>
            <w:tcBorders>
              <w:top w:val="nil"/>
              <w:left w:val="single" w:sz="8" w:space="0" w:color="000000" w:themeColor="text1"/>
            </w:tcBorders>
          </w:tcPr>
          <w:p w:rsidR="00301CDC" w:rsidRDefault="00301CDC">
            <w:pPr>
              <w:cnfStyle w:val="000000100000" w:firstRow="0" w:lastRow="0" w:firstColumn="0" w:lastColumn="0" w:oddVBand="0" w:evenVBand="0" w:oddHBand="1" w:evenHBand="0" w:firstRowFirstColumn="0" w:firstRowLastColumn="0" w:lastRowFirstColumn="0" w:lastRowLastColumn="0"/>
            </w:pPr>
            <w:r>
              <w:t>Eigenkapital</w:t>
            </w:r>
          </w:p>
        </w:tc>
        <w:tc>
          <w:tcPr>
            <w:tcW w:w="2303" w:type="dxa"/>
          </w:tcPr>
          <w:p w:rsidR="00301CDC" w:rsidRDefault="009910CE" w:rsidP="009910CE">
            <w:pPr>
              <w:jc w:val="right"/>
              <w:cnfStyle w:val="000000100000" w:firstRow="0" w:lastRow="0" w:firstColumn="0" w:lastColumn="0" w:oddVBand="0" w:evenVBand="0" w:oddHBand="1" w:evenHBand="0" w:firstRowFirstColumn="0" w:firstRowLastColumn="0" w:lastRowFirstColumn="0" w:lastRowLastColumn="0"/>
            </w:pPr>
            <w:r>
              <w:t>8.660,-€</w:t>
            </w:r>
          </w:p>
        </w:tc>
      </w:tr>
      <w:tr w:rsidR="00301CDC" w:rsidTr="009910CE">
        <w:tc>
          <w:tcPr>
            <w:cnfStyle w:val="001000000000" w:firstRow="0" w:lastRow="0" w:firstColumn="1" w:lastColumn="0" w:oddVBand="0" w:evenVBand="0" w:oddHBand="0" w:evenHBand="0" w:firstRowFirstColumn="0" w:firstRowLastColumn="0" w:lastRowFirstColumn="0" w:lastRowLastColumn="0"/>
            <w:tcW w:w="2303" w:type="dxa"/>
          </w:tcPr>
          <w:p w:rsidR="00301CDC" w:rsidRPr="00301CDC" w:rsidRDefault="00301CDC">
            <w:pPr>
              <w:rPr>
                <w:bCs w:val="0"/>
              </w:rPr>
            </w:pPr>
            <w:r w:rsidRPr="00301CDC">
              <w:rPr>
                <w:b w:val="0"/>
              </w:rPr>
              <w:t>Vorräte</w:t>
            </w:r>
          </w:p>
        </w:tc>
        <w:tc>
          <w:tcPr>
            <w:tcW w:w="2303" w:type="dxa"/>
            <w:gridSpan w:val="2"/>
            <w:tcBorders>
              <w:right w:val="single" w:sz="8" w:space="0" w:color="000000" w:themeColor="text1"/>
            </w:tcBorders>
          </w:tcPr>
          <w:p w:rsidR="00301CDC" w:rsidRPr="009910CE" w:rsidRDefault="009910CE" w:rsidP="009910CE">
            <w:pPr>
              <w:jc w:val="right"/>
              <w:cnfStyle w:val="000000000000" w:firstRow="0" w:lastRow="0" w:firstColumn="0" w:lastColumn="0" w:oddVBand="0" w:evenVBand="0" w:oddHBand="0" w:evenHBand="0" w:firstRowFirstColumn="0" w:firstRowLastColumn="0" w:lastRowFirstColumn="0" w:lastRowLastColumn="0"/>
            </w:pPr>
            <w:r w:rsidRPr="009910CE">
              <w:t>2.300,-€</w:t>
            </w:r>
          </w:p>
        </w:tc>
        <w:tc>
          <w:tcPr>
            <w:tcW w:w="2303" w:type="dxa"/>
            <w:gridSpan w:val="2"/>
            <w:tcBorders>
              <w:left w:val="single" w:sz="8" w:space="0" w:color="000000" w:themeColor="text1"/>
            </w:tcBorders>
          </w:tcPr>
          <w:p w:rsidR="00301CDC" w:rsidRDefault="00301CDC">
            <w:pPr>
              <w:cnfStyle w:val="000000000000" w:firstRow="0" w:lastRow="0" w:firstColumn="0" w:lastColumn="0" w:oddVBand="0" w:evenVBand="0" w:oddHBand="0" w:evenHBand="0" w:firstRowFirstColumn="0" w:firstRowLastColumn="0" w:lastRowFirstColumn="0" w:lastRowLastColumn="0"/>
            </w:pPr>
            <w:r>
              <w:t>Verbindlichkeiten KI</w:t>
            </w:r>
          </w:p>
        </w:tc>
        <w:tc>
          <w:tcPr>
            <w:tcW w:w="2303" w:type="dxa"/>
          </w:tcPr>
          <w:p w:rsidR="00301CDC" w:rsidRDefault="009910CE" w:rsidP="009910CE">
            <w:pPr>
              <w:jc w:val="right"/>
              <w:cnfStyle w:val="000000000000" w:firstRow="0" w:lastRow="0" w:firstColumn="0" w:lastColumn="0" w:oddVBand="0" w:evenVBand="0" w:oddHBand="0" w:evenHBand="0" w:firstRowFirstColumn="0" w:firstRowLastColumn="0" w:lastRowFirstColumn="0" w:lastRowLastColumn="0"/>
            </w:pPr>
            <w:r>
              <w:t>820,-€</w:t>
            </w:r>
          </w:p>
        </w:tc>
      </w:tr>
      <w:tr w:rsidR="00301CDC" w:rsidTr="00991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301CDC" w:rsidRPr="00301CDC" w:rsidRDefault="00301CDC" w:rsidP="00301CDC">
            <w:pPr>
              <w:rPr>
                <w:bCs w:val="0"/>
              </w:rPr>
            </w:pPr>
            <w:r w:rsidRPr="00301CDC">
              <w:rPr>
                <w:b w:val="0"/>
              </w:rPr>
              <w:t xml:space="preserve">Forderungen </w:t>
            </w:r>
            <w:proofErr w:type="spellStart"/>
            <w:r w:rsidRPr="00301CDC">
              <w:rPr>
                <w:b w:val="0"/>
              </w:rPr>
              <w:t>LuL</w:t>
            </w:r>
            <w:proofErr w:type="spellEnd"/>
          </w:p>
        </w:tc>
        <w:tc>
          <w:tcPr>
            <w:tcW w:w="2303" w:type="dxa"/>
            <w:gridSpan w:val="2"/>
            <w:tcBorders>
              <w:right w:val="single" w:sz="8" w:space="0" w:color="000000" w:themeColor="text1"/>
            </w:tcBorders>
          </w:tcPr>
          <w:p w:rsidR="00301CDC" w:rsidRPr="009910CE" w:rsidRDefault="009910CE" w:rsidP="009910CE">
            <w:pPr>
              <w:jc w:val="right"/>
              <w:cnfStyle w:val="000000100000" w:firstRow="0" w:lastRow="0" w:firstColumn="0" w:lastColumn="0" w:oddVBand="0" w:evenVBand="0" w:oddHBand="1" w:evenHBand="0" w:firstRowFirstColumn="0" w:firstRowLastColumn="0" w:lastRowFirstColumn="0" w:lastRowLastColumn="0"/>
            </w:pPr>
            <w:r w:rsidRPr="009910CE">
              <w:t>560,-€</w:t>
            </w:r>
          </w:p>
        </w:tc>
        <w:tc>
          <w:tcPr>
            <w:tcW w:w="2303" w:type="dxa"/>
            <w:gridSpan w:val="2"/>
            <w:tcBorders>
              <w:left w:val="single" w:sz="8" w:space="0" w:color="000000" w:themeColor="text1"/>
            </w:tcBorders>
          </w:tcPr>
          <w:p w:rsidR="00301CDC" w:rsidRDefault="00301CDC">
            <w:pPr>
              <w:cnfStyle w:val="000000100000" w:firstRow="0" w:lastRow="0" w:firstColumn="0" w:lastColumn="0" w:oddVBand="0" w:evenVBand="0" w:oddHBand="1" w:evenHBand="0" w:firstRowFirstColumn="0" w:firstRowLastColumn="0" w:lastRowFirstColumn="0" w:lastRowLastColumn="0"/>
            </w:pPr>
            <w:r>
              <w:t xml:space="preserve">Verbindlichkeiten </w:t>
            </w:r>
            <w:proofErr w:type="spellStart"/>
            <w:r>
              <w:t>LuL</w:t>
            </w:r>
            <w:proofErr w:type="spellEnd"/>
          </w:p>
        </w:tc>
        <w:tc>
          <w:tcPr>
            <w:tcW w:w="2303" w:type="dxa"/>
          </w:tcPr>
          <w:p w:rsidR="00301CDC" w:rsidRDefault="009910CE" w:rsidP="009910CE">
            <w:pPr>
              <w:jc w:val="right"/>
              <w:cnfStyle w:val="000000100000" w:firstRow="0" w:lastRow="0" w:firstColumn="0" w:lastColumn="0" w:oddVBand="0" w:evenVBand="0" w:oddHBand="1" w:evenHBand="0" w:firstRowFirstColumn="0" w:firstRowLastColumn="0" w:lastRowFirstColumn="0" w:lastRowLastColumn="0"/>
            </w:pPr>
            <w:r>
              <w:t>1.430,-€</w:t>
            </w:r>
          </w:p>
        </w:tc>
      </w:tr>
      <w:tr w:rsidR="00301CDC" w:rsidTr="009910CE">
        <w:tc>
          <w:tcPr>
            <w:cnfStyle w:val="001000000000" w:firstRow="0" w:lastRow="0" w:firstColumn="1" w:lastColumn="0" w:oddVBand="0" w:evenVBand="0" w:oddHBand="0" w:evenHBand="0" w:firstRowFirstColumn="0" w:firstRowLastColumn="0" w:lastRowFirstColumn="0" w:lastRowLastColumn="0"/>
            <w:tcW w:w="2303" w:type="dxa"/>
          </w:tcPr>
          <w:p w:rsidR="00301CDC" w:rsidRPr="00301CDC" w:rsidRDefault="00301CDC" w:rsidP="00301CDC">
            <w:pPr>
              <w:rPr>
                <w:bCs w:val="0"/>
              </w:rPr>
            </w:pPr>
            <w:r w:rsidRPr="00301CDC">
              <w:rPr>
                <w:b w:val="0"/>
              </w:rPr>
              <w:t>Bank</w:t>
            </w:r>
          </w:p>
        </w:tc>
        <w:tc>
          <w:tcPr>
            <w:tcW w:w="2303" w:type="dxa"/>
            <w:gridSpan w:val="2"/>
            <w:tcBorders>
              <w:right w:val="single" w:sz="8" w:space="0" w:color="000000" w:themeColor="text1"/>
            </w:tcBorders>
          </w:tcPr>
          <w:p w:rsidR="00301CDC" w:rsidRPr="009910CE" w:rsidRDefault="009910CE" w:rsidP="009910CE">
            <w:pPr>
              <w:jc w:val="right"/>
              <w:cnfStyle w:val="000000000000" w:firstRow="0" w:lastRow="0" w:firstColumn="0" w:lastColumn="0" w:oddVBand="0" w:evenVBand="0" w:oddHBand="0" w:evenHBand="0" w:firstRowFirstColumn="0" w:firstRowLastColumn="0" w:lastRowFirstColumn="0" w:lastRowLastColumn="0"/>
            </w:pPr>
            <w:r w:rsidRPr="009910CE">
              <w:t>1.480,-€</w:t>
            </w:r>
          </w:p>
        </w:tc>
        <w:tc>
          <w:tcPr>
            <w:tcW w:w="2303" w:type="dxa"/>
            <w:gridSpan w:val="2"/>
            <w:tcBorders>
              <w:left w:val="single" w:sz="8" w:space="0" w:color="000000" w:themeColor="text1"/>
            </w:tcBorders>
          </w:tcPr>
          <w:p w:rsidR="00301CDC" w:rsidRDefault="00301CDC">
            <w:pPr>
              <w:cnfStyle w:val="000000000000" w:firstRow="0" w:lastRow="0" w:firstColumn="0" w:lastColumn="0" w:oddVBand="0" w:evenVBand="0" w:oddHBand="0" w:evenHBand="0" w:firstRowFirstColumn="0" w:firstRowLastColumn="0" w:lastRowFirstColumn="0" w:lastRowLastColumn="0"/>
            </w:pPr>
          </w:p>
        </w:tc>
        <w:tc>
          <w:tcPr>
            <w:tcW w:w="2303" w:type="dxa"/>
          </w:tcPr>
          <w:p w:rsidR="00301CDC" w:rsidRDefault="00301CDC" w:rsidP="009910CE">
            <w:pPr>
              <w:jc w:val="right"/>
              <w:cnfStyle w:val="000000000000" w:firstRow="0" w:lastRow="0" w:firstColumn="0" w:lastColumn="0" w:oddVBand="0" w:evenVBand="0" w:oddHBand="0" w:evenHBand="0" w:firstRowFirstColumn="0" w:firstRowLastColumn="0" w:lastRowFirstColumn="0" w:lastRowLastColumn="0"/>
            </w:pPr>
          </w:p>
        </w:tc>
      </w:tr>
      <w:tr w:rsidR="00301CDC" w:rsidTr="00991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bottom w:val="single" w:sz="8" w:space="0" w:color="000000" w:themeColor="text1"/>
            </w:tcBorders>
          </w:tcPr>
          <w:p w:rsidR="00301CDC" w:rsidRPr="00301CDC" w:rsidRDefault="00301CDC">
            <w:pPr>
              <w:rPr>
                <w:bCs w:val="0"/>
              </w:rPr>
            </w:pPr>
            <w:r w:rsidRPr="00301CDC">
              <w:rPr>
                <w:b w:val="0"/>
              </w:rPr>
              <w:t>Kasse</w:t>
            </w:r>
          </w:p>
        </w:tc>
        <w:tc>
          <w:tcPr>
            <w:tcW w:w="2303" w:type="dxa"/>
            <w:gridSpan w:val="2"/>
            <w:tcBorders>
              <w:bottom w:val="single" w:sz="8" w:space="0" w:color="000000" w:themeColor="text1"/>
              <w:right w:val="single" w:sz="8" w:space="0" w:color="000000" w:themeColor="text1"/>
            </w:tcBorders>
          </w:tcPr>
          <w:p w:rsidR="00301CDC" w:rsidRPr="009910CE" w:rsidRDefault="009910CE" w:rsidP="009910CE">
            <w:pPr>
              <w:jc w:val="right"/>
              <w:cnfStyle w:val="000000100000" w:firstRow="0" w:lastRow="0" w:firstColumn="0" w:lastColumn="0" w:oddVBand="0" w:evenVBand="0" w:oddHBand="1" w:evenHBand="0" w:firstRowFirstColumn="0" w:firstRowLastColumn="0" w:lastRowFirstColumn="0" w:lastRowLastColumn="0"/>
            </w:pPr>
            <w:r w:rsidRPr="009910CE">
              <w:t>170,-€</w:t>
            </w:r>
          </w:p>
        </w:tc>
        <w:tc>
          <w:tcPr>
            <w:tcW w:w="2303" w:type="dxa"/>
            <w:gridSpan w:val="2"/>
            <w:tcBorders>
              <w:left w:val="single" w:sz="8" w:space="0" w:color="000000" w:themeColor="text1"/>
              <w:bottom w:val="single" w:sz="8" w:space="0" w:color="000000" w:themeColor="text1"/>
            </w:tcBorders>
          </w:tcPr>
          <w:p w:rsidR="00301CDC" w:rsidRDefault="00301CDC">
            <w:pPr>
              <w:cnfStyle w:val="000000100000" w:firstRow="0" w:lastRow="0" w:firstColumn="0" w:lastColumn="0" w:oddVBand="0" w:evenVBand="0" w:oddHBand="1" w:evenHBand="0" w:firstRowFirstColumn="0" w:firstRowLastColumn="0" w:lastRowFirstColumn="0" w:lastRowLastColumn="0"/>
            </w:pPr>
          </w:p>
        </w:tc>
        <w:tc>
          <w:tcPr>
            <w:tcW w:w="2303" w:type="dxa"/>
            <w:tcBorders>
              <w:bottom w:val="single" w:sz="8" w:space="0" w:color="000000" w:themeColor="text1"/>
            </w:tcBorders>
          </w:tcPr>
          <w:p w:rsidR="00301CDC" w:rsidRDefault="00301CDC" w:rsidP="009910CE">
            <w:pPr>
              <w:jc w:val="right"/>
              <w:cnfStyle w:val="000000100000" w:firstRow="0" w:lastRow="0" w:firstColumn="0" w:lastColumn="0" w:oddVBand="0" w:evenVBand="0" w:oddHBand="1" w:evenHBand="0" w:firstRowFirstColumn="0" w:firstRowLastColumn="0" w:lastRowFirstColumn="0" w:lastRowLastColumn="0"/>
            </w:pPr>
          </w:p>
        </w:tc>
      </w:tr>
      <w:tr w:rsidR="00301CDC" w:rsidRPr="009910CE" w:rsidTr="009910CE">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000000" w:themeColor="text1"/>
              <w:bottom w:val="single" w:sz="8" w:space="0" w:color="000000" w:themeColor="text1"/>
            </w:tcBorders>
          </w:tcPr>
          <w:p w:rsidR="00301CDC" w:rsidRPr="009910CE" w:rsidRDefault="009910CE">
            <w:pPr>
              <w:rPr>
                <w:bCs w:val="0"/>
              </w:rPr>
            </w:pPr>
            <w:r>
              <w:rPr>
                <w:bCs w:val="0"/>
              </w:rPr>
              <w:t>Summe</w:t>
            </w:r>
          </w:p>
        </w:tc>
        <w:tc>
          <w:tcPr>
            <w:tcW w:w="2303" w:type="dxa"/>
            <w:gridSpan w:val="2"/>
            <w:tcBorders>
              <w:top w:val="single" w:sz="8" w:space="0" w:color="000000" w:themeColor="text1"/>
              <w:bottom w:val="single" w:sz="8" w:space="0" w:color="000000" w:themeColor="text1"/>
              <w:right w:val="single" w:sz="8" w:space="0" w:color="000000" w:themeColor="text1"/>
            </w:tcBorders>
          </w:tcPr>
          <w:p w:rsidR="00301CDC" w:rsidRPr="009910CE" w:rsidRDefault="009910CE" w:rsidP="009910CE">
            <w:pPr>
              <w:jc w:val="right"/>
              <w:cnfStyle w:val="000000000000" w:firstRow="0" w:lastRow="0" w:firstColumn="0" w:lastColumn="0" w:oddVBand="0" w:evenVBand="0" w:oddHBand="0" w:evenHBand="0" w:firstRowFirstColumn="0" w:firstRowLastColumn="0" w:lastRowFirstColumn="0" w:lastRowLastColumn="0"/>
              <w:rPr>
                <w:b/>
              </w:rPr>
            </w:pPr>
            <w:r w:rsidRPr="009910CE">
              <w:rPr>
                <w:b/>
              </w:rPr>
              <w:t>10.910,-€</w:t>
            </w:r>
          </w:p>
        </w:tc>
        <w:tc>
          <w:tcPr>
            <w:tcW w:w="2303" w:type="dxa"/>
            <w:gridSpan w:val="2"/>
            <w:tcBorders>
              <w:top w:val="single" w:sz="8" w:space="0" w:color="000000" w:themeColor="text1"/>
              <w:left w:val="single" w:sz="8" w:space="0" w:color="000000" w:themeColor="text1"/>
              <w:bottom w:val="single" w:sz="8" w:space="0" w:color="000000" w:themeColor="text1"/>
            </w:tcBorders>
          </w:tcPr>
          <w:p w:rsidR="00301CDC" w:rsidRPr="009910CE" w:rsidRDefault="009910CE">
            <w:pPr>
              <w:cnfStyle w:val="000000000000" w:firstRow="0" w:lastRow="0" w:firstColumn="0" w:lastColumn="0" w:oddVBand="0" w:evenVBand="0" w:oddHBand="0" w:evenHBand="0" w:firstRowFirstColumn="0" w:firstRowLastColumn="0" w:lastRowFirstColumn="0" w:lastRowLastColumn="0"/>
              <w:rPr>
                <w:b/>
              </w:rPr>
            </w:pPr>
            <w:r>
              <w:rPr>
                <w:b/>
              </w:rPr>
              <w:t>Summe</w:t>
            </w:r>
          </w:p>
        </w:tc>
        <w:tc>
          <w:tcPr>
            <w:tcW w:w="2303" w:type="dxa"/>
            <w:tcBorders>
              <w:top w:val="single" w:sz="8" w:space="0" w:color="000000" w:themeColor="text1"/>
              <w:bottom w:val="single" w:sz="8" w:space="0" w:color="000000" w:themeColor="text1"/>
            </w:tcBorders>
          </w:tcPr>
          <w:p w:rsidR="00301CDC" w:rsidRPr="009910CE" w:rsidRDefault="009910CE" w:rsidP="009910CE">
            <w:pPr>
              <w:jc w:val="right"/>
              <w:cnfStyle w:val="000000000000" w:firstRow="0" w:lastRow="0" w:firstColumn="0" w:lastColumn="0" w:oddVBand="0" w:evenVBand="0" w:oddHBand="0" w:evenHBand="0" w:firstRowFirstColumn="0" w:firstRowLastColumn="0" w:lastRowFirstColumn="0" w:lastRowLastColumn="0"/>
              <w:rPr>
                <w:b/>
              </w:rPr>
            </w:pPr>
            <w:r w:rsidRPr="009910CE">
              <w:rPr>
                <w:b/>
              </w:rPr>
              <w:t>10.910,-€</w:t>
            </w:r>
          </w:p>
        </w:tc>
      </w:tr>
    </w:tbl>
    <w:p w:rsidR="00C376C1" w:rsidRDefault="00C376C1" w:rsidP="00C376C1">
      <w:pPr>
        <w:pStyle w:val="Listenabsatz"/>
        <w:ind w:left="567"/>
        <w:rPr>
          <w:color w:val="000000"/>
          <w:shd w:val="clear" w:color="auto" w:fill="FFFFFF"/>
        </w:rPr>
      </w:pPr>
    </w:p>
    <w:p w:rsidR="005D5D45" w:rsidRDefault="00C376C1" w:rsidP="002901E8">
      <w:pPr>
        <w:pStyle w:val="Listenabsatz"/>
        <w:numPr>
          <w:ilvl w:val="0"/>
          <w:numId w:val="1"/>
        </w:numPr>
        <w:ind w:left="567" w:hanging="283"/>
        <w:jc w:val="both"/>
      </w:pPr>
      <w:r>
        <w:t xml:space="preserve">Eingangsrechnung </w:t>
      </w:r>
      <w:r w:rsidR="002901E8">
        <w:t>vom 11.04.</w:t>
      </w:r>
      <w:r>
        <w:t xml:space="preserve">des Getränkelieferanten über 60l Pils á 1,40€; 3l Tequila zum Gesamtpreis von 50,-€ sowie 2 Kisten Rum mit je sechs Flaschen. Kosten je Kiste 72,-€. Der Händler gewährt 10% Mengenrabatt auf alle Biererzeugnisse sobald hiervon mehr als 50l abgesetzt und 5% </w:t>
      </w:r>
      <w:r w:rsidR="002901E8">
        <w:t>Nachlass sobald mind. 15 Flaschen Rum geordert wurden. Zudem werden 2% Skonto bei Zahlung innerhalb von 14 Tagen gewährt, ansonsten Zahlungsziel 30 Tagen rein netto.</w:t>
      </w:r>
    </w:p>
    <w:p w:rsidR="002901E8" w:rsidRDefault="002901E8" w:rsidP="002901E8">
      <w:pPr>
        <w:pStyle w:val="Listenabsatz"/>
        <w:ind w:left="567"/>
        <w:jc w:val="both"/>
      </w:pPr>
    </w:p>
    <w:p w:rsidR="002901E8" w:rsidRDefault="002901E8" w:rsidP="002901E8">
      <w:pPr>
        <w:pStyle w:val="Listenabsatz"/>
        <w:numPr>
          <w:ilvl w:val="0"/>
          <w:numId w:val="1"/>
        </w:numPr>
        <w:ind w:left="567" w:hanging="283"/>
        <w:jc w:val="both"/>
      </w:pPr>
      <w:r>
        <w:t>Der Club besorgt beim Elektrohandel einen neuen Verstärker, netto 450,-€ abzgl. 8% Treuerabatt. Ein altes Gerät wird in Zahlung gegeben. Der Nettowarenwert wird auf 74,-€ beziffert. 150€ werden sofort bar bezahlt. Den Rest stellt der Händler in Rechnung plus 10,-€ Bearbeitungsgebühr.</w:t>
      </w:r>
    </w:p>
    <w:p w:rsidR="002901E8" w:rsidRDefault="002901E8" w:rsidP="002901E8">
      <w:pPr>
        <w:pStyle w:val="Listenabsatz"/>
        <w:ind w:left="567"/>
        <w:jc w:val="both"/>
      </w:pPr>
    </w:p>
    <w:p w:rsidR="00DA37B6" w:rsidRDefault="002901E8" w:rsidP="00DA37B6">
      <w:pPr>
        <w:pStyle w:val="Listenabsatz"/>
        <w:numPr>
          <w:ilvl w:val="0"/>
          <w:numId w:val="1"/>
        </w:numPr>
        <w:ind w:left="567" w:hanging="283"/>
        <w:jc w:val="both"/>
      </w:pPr>
      <w:r>
        <w:t xml:space="preserve">Die Rechnung aus 1. wird am 24.04. via Banküberweisung beglichen. Der Getränkehändler nimmt außerdem 20l Pils sowie 3 Flaschen </w:t>
      </w:r>
      <w:r w:rsidR="00DA37B6">
        <w:t>Rum, die auf Kommission beschafft wurden, zurück.</w:t>
      </w:r>
    </w:p>
    <w:p w:rsidR="00DA37B6" w:rsidRDefault="00DA37B6" w:rsidP="00DA37B6">
      <w:pPr>
        <w:pStyle w:val="Listenabsatz"/>
        <w:ind w:left="567"/>
      </w:pPr>
    </w:p>
    <w:p w:rsidR="00DA37B6" w:rsidRDefault="00DA37B6" w:rsidP="00DA37B6">
      <w:pPr>
        <w:pStyle w:val="Listenabsatz"/>
        <w:numPr>
          <w:ilvl w:val="0"/>
          <w:numId w:val="1"/>
        </w:numPr>
        <w:ind w:left="567" w:hanging="283"/>
        <w:jc w:val="both"/>
      </w:pPr>
      <w:r>
        <w:t>Es werden 2 Obstkisten mit je 30 Limetten für den großen Cocktailabend im Großhandel eingekauft. Momentan bietet dieser eine Aktion an, bei der man beim Erwerb einer Obstkiste, eine Weitere zum halben Preis bekommt. Bisheriger Einkaufspreis je Kiste 15,-€.</w:t>
      </w:r>
    </w:p>
    <w:p w:rsidR="00DA37B6" w:rsidRDefault="00DA37B6" w:rsidP="00DA37B6">
      <w:pPr>
        <w:pStyle w:val="Listenabsatz"/>
      </w:pPr>
    </w:p>
    <w:p w:rsidR="00DA37B6" w:rsidRDefault="00DA37B6" w:rsidP="00DA37B6">
      <w:pPr>
        <w:pStyle w:val="Listenabsatz"/>
        <w:numPr>
          <w:ilvl w:val="0"/>
          <w:numId w:val="1"/>
        </w:numPr>
        <w:ind w:left="567" w:hanging="283"/>
        <w:jc w:val="both"/>
      </w:pPr>
      <w:r>
        <w:t xml:space="preserve">Die Kassenprüfung nach der wöchentlichen </w:t>
      </w:r>
      <w:proofErr w:type="spellStart"/>
      <w:r>
        <w:t>Mottoparty</w:t>
      </w:r>
      <w:proofErr w:type="spellEnd"/>
      <w:r>
        <w:t xml:space="preserve"> ergibt einen Umsatz von 750,-€.</w:t>
      </w:r>
    </w:p>
    <w:p w:rsidR="00DA37B6" w:rsidRDefault="00DA37B6" w:rsidP="00DA37B6">
      <w:pPr>
        <w:pStyle w:val="Listenabsatz"/>
      </w:pPr>
    </w:p>
    <w:p w:rsidR="00DA37B6" w:rsidRDefault="00DA37B6" w:rsidP="00DA37B6">
      <w:pPr>
        <w:pStyle w:val="Listenabsatz"/>
        <w:numPr>
          <w:ilvl w:val="0"/>
          <w:numId w:val="1"/>
        </w:numPr>
        <w:ind w:left="567" w:hanging="283"/>
        <w:jc w:val="both"/>
      </w:pPr>
      <w:r>
        <w:t>Am nächsten Tag zahlt der Schatzmeister 320,- € von den erzielten Erlösen auf das Girokonto ein.</w:t>
      </w:r>
    </w:p>
    <w:p w:rsidR="00DA37B6" w:rsidRDefault="00DA37B6" w:rsidP="00DA37B6">
      <w:pPr>
        <w:pStyle w:val="Listenabsatz"/>
      </w:pPr>
    </w:p>
    <w:p w:rsidR="00DA37B6" w:rsidRDefault="00DA37B6" w:rsidP="00DA37B6">
      <w:pPr>
        <w:pStyle w:val="Listenabsatz"/>
        <w:numPr>
          <w:ilvl w:val="0"/>
          <w:numId w:val="1"/>
        </w:numPr>
        <w:ind w:left="567" w:hanging="283"/>
        <w:jc w:val="both"/>
      </w:pPr>
      <w:r>
        <w:t>Es werden neue Stehtische (3x80€)</w:t>
      </w:r>
      <w:r w:rsidR="001B2BD5">
        <w:t>, Cocktailgläser (70x1</w:t>
      </w:r>
      <w:proofErr w:type="gramStart"/>
      <w:r w:rsidR="001B2BD5">
        <w:t>,30</w:t>
      </w:r>
      <w:proofErr w:type="gramEnd"/>
      <w:r w:rsidR="001B2BD5">
        <w:t xml:space="preserve">€) sowie zwei Biertischgarnituren (je 60€) beschafft. Der Lieferant stellt weiterhin 74,10€ Anlieferungskosten in Rechnung, jedoch gewährt er uns auch 10% Rabatt auf die erworbenen Gläser, </w:t>
      </w:r>
      <w:r w:rsidR="0003081E">
        <w:t>da</w:t>
      </w:r>
      <w:r w:rsidR="001B2BD5">
        <w:t xml:space="preserve"> wir sofort 100,-€ bar anzahlen.</w:t>
      </w:r>
    </w:p>
    <w:p w:rsidR="001B2BD5" w:rsidRDefault="001B2BD5" w:rsidP="001B2BD5">
      <w:pPr>
        <w:pStyle w:val="Listenabsatz"/>
      </w:pPr>
    </w:p>
    <w:p w:rsidR="001B2BD5" w:rsidRDefault="001B2BD5" w:rsidP="00DA37B6">
      <w:pPr>
        <w:pStyle w:val="Listenabsatz"/>
        <w:numPr>
          <w:ilvl w:val="0"/>
          <w:numId w:val="1"/>
        </w:numPr>
        <w:ind w:left="567" w:hanging="283"/>
        <w:jc w:val="both"/>
      </w:pPr>
      <w:r>
        <w:t>Von den gekauften Limetten aus 4. waren 20 Stück schon am Folgetag verschimmelt. Diese wurden reklamiert. Der Händler verrechnete die Gutschrift mit einer noch ausstehenden Schuld.</w:t>
      </w:r>
    </w:p>
    <w:p w:rsidR="001B2BD5" w:rsidRDefault="001B2BD5" w:rsidP="001B2BD5">
      <w:pPr>
        <w:pStyle w:val="Listenabsatz"/>
      </w:pPr>
    </w:p>
    <w:p w:rsidR="001B2BD5" w:rsidRPr="005D5D45" w:rsidRDefault="001B2BD5" w:rsidP="00DA37B6">
      <w:pPr>
        <w:pStyle w:val="Listenabsatz"/>
        <w:numPr>
          <w:ilvl w:val="0"/>
          <w:numId w:val="1"/>
        </w:numPr>
        <w:ind w:left="567" w:hanging="283"/>
        <w:jc w:val="both"/>
      </w:pPr>
      <w:r>
        <w:t xml:space="preserve">Wir erhalten </w:t>
      </w:r>
      <w:r w:rsidR="008C7FDC">
        <w:t>Einzahlungen</w:t>
      </w:r>
      <w:r>
        <w:t xml:space="preserve"> von Stammkunden in Höhe von 130,-€, die bisher die Zeche prellten. Diese Einnahme </w:t>
      </w:r>
      <w:r w:rsidR="008C7FDC">
        <w:t>zahlen</w:t>
      </w:r>
      <w:r>
        <w:t xml:space="preserve"> wir am nächsten Tag bei der Bank </w:t>
      </w:r>
      <w:r w:rsidR="008C7FDC">
        <w:t>zur Tilgung unseres Kredites ein.</w:t>
      </w:r>
    </w:p>
    <w:sectPr w:rsidR="001B2BD5" w:rsidRPr="005D5D45" w:rsidSect="002901E8">
      <w:head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65" w:rsidRDefault="00E05C65" w:rsidP="005D5D45">
      <w:pPr>
        <w:spacing w:after="0" w:line="240" w:lineRule="auto"/>
      </w:pPr>
      <w:r>
        <w:separator/>
      </w:r>
    </w:p>
  </w:endnote>
  <w:endnote w:type="continuationSeparator" w:id="0">
    <w:p w:rsidR="00E05C65" w:rsidRDefault="00E05C65" w:rsidP="005D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65" w:rsidRDefault="00E05C65" w:rsidP="005D5D45">
      <w:pPr>
        <w:spacing w:after="0" w:line="240" w:lineRule="auto"/>
      </w:pPr>
      <w:r>
        <w:separator/>
      </w:r>
    </w:p>
  </w:footnote>
  <w:footnote w:type="continuationSeparator" w:id="0">
    <w:p w:rsidR="00E05C65" w:rsidRDefault="00E05C65" w:rsidP="005D5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45" w:rsidRPr="005D5D45" w:rsidRDefault="004A08EE" w:rsidP="005D5D45">
    <w:pPr>
      <w:pStyle w:val="Kopfzeile"/>
      <w:jc w:val="right"/>
    </w:pPr>
    <w:r>
      <w:t xml:space="preserve">Tutorium </w:t>
    </w:r>
    <w:r w:rsidR="0080338D">
      <w:t>Buchführung</w:t>
    </w:r>
    <w:r>
      <w:ptab w:relativeTo="margin" w:alignment="center" w:leader="none"/>
    </w:r>
    <w:r>
      <w:ptab w:relativeTo="margin" w:alignment="right" w:leader="none"/>
    </w:r>
    <w:r w:rsidR="00301CDC">
      <w:t>2</w:t>
    </w:r>
    <w:r w:rsidR="0080338D">
      <w:t>5</w:t>
    </w:r>
    <w:r>
      <w:t>.</w:t>
    </w:r>
    <w:r w:rsidR="0080338D">
      <w:t>11</w:t>
    </w:r>
    <w: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828A1"/>
    <w:multiLevelType w:val="hybridMultilevel"/>
    <w:tmpl w:val="CB947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E1"/>
    <w:rsid w:val="0003081E"/>
    <w:rsid w:val="00065693"/>
    <w:rsid w:val="000C557F"/>
    <w:rsid w:val="001421B2"/>
    <w:rsid w:val="001B2BD5"/>
    <w:rsid w:val="00274159"/>
    <w:rsid w:val="002901E8"/>
    <w:rsid w:val="00301CDC"/>
    <w:rsid w:val="00435262"/>
    <w:rsid w:val="004412CB"/>
    <w:rsid w:val="00495EF5"/>
    <w:rsid w:val="004A08EE"/>
    <w:rsid w:val="004E40F1"/>
    <w:rsid w:val="00567A44"/>
    <w:rsid w:val="00583087"/>
    <w:rsid w:val="005D5D45"/>
    <w:rsid w:val="00657281"/>
    <w:rsid w:val="006744E1"/>
    <w:rsid w:val="0080338D"/>
    <w:rsid w:val="008C7FDC"/>
    <w:rsid w:val="009910CE"/>
    <w:rsid w:val="00A00569"/>
    <w:rsid w:val="00AD3C29"/>
    <w:rsid w:val="00BA0A5D"/>
    <w:rsid w:val="00BC2DED"/>
    <w:rsid w:val="00C376C1"/>
    <w:rsid w:val="00DA37B6"/>
    <w:rsid w:val="00E0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4E1"/>
    <w:pPr>
      <w:ind w:left="720"/>
      <w:contextualSpacing/>
    </w:pPr>
  </w:style>
  <w:style w:type="paragraph" w:styleId="Kopfzeile">
    <w:name w:val="header"/>
    <w:basedOn w:val="Standard"/>
    <w:link w:val="KopfzeileZchn"/>
    <w:uiPriority w:val="99"/>
    <w:unhideWhenUsed/>
    <w:rsid w:val="005D5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5D45"/>
  </w:style>
  <w:style w:type="paragraph" w:styleId="Fuzeile">
    <w:name w:val="footer"/>
    <w:basedOn w:val="Standard"/>
    <w:link w:val="FuzeileZchn"/>
    <w:uiPriority w:val="99"/>
    <w:unhideWhenUsed/>
    <w:rsid w:val="005D5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5D45"/>
  </w:style>
  <w:style w:type="paragraph" w:styleId="Sprechblasentext">
    <w:name w:val="Balloon Text"/>
    <w:basedOn w:val="Standard"/>
    <w:link w:val="SprechblasentextZchn"/>
    <w:uiPriority w:val="99"/>
    <w:semiHidden/>
    <w:unhideWhenUsed/>
    <w:rsid w:val="004A0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8EE"/>
    <w:rPr>
      <w:rFonts w:ascii="Tahoma" w:hAnsi="Tahoma" w:cs="Tahoma"/>
      <w:sz w:val="16"/>
      <w:szCs w:val="16"/>
    </w:rPr>
  </w:style>
  <w:style w:type="table" w:styleId="Tabellenraster">
    <w:name w:val="Table Grid"/>
    <w:basedOn w:val="NormaleTabelle"/>
    <w:uiPriority w:val="59"/>
    <w:rsid w:val="0030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301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4E1"/>
    <w:pPr>
      <w:ind w:left="720"/>
      <w:contextualSpacing/>
    </w:pPr>
  </w:style>
  <w:style w:type="paragraph" w:styleId="Kopfzeile">
    <w:name w:val="header"/>
    <w:basedOn w:val="Standard"/>
    <w:link w:val="KopfzeileZchn"/>
    <w:uiPriority w:val="99"/>
    <w:unhideWhenUsed/>
    <w:rsid w:val="005D5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5D45"/>
  </w:style>
  <w:style w:type="paragraph" w:styleId="Fuzeile">
    <w:name w:val="footer"/>
    <w:basedOn w:val="Standard"/>
    <w:link w:val="FuzeileZchn"/>
    <w:uiPriority w:val="99"/>
    <w:unhideWhenUsed/>
    <w:rsid w:val="005D5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5D45"/>
  </w:style>
  <w:style w:type="paragraph" w:styleId="Sprechblasentext">
    <w:name w:val="Balloon Text"/>
    <w:basedOn w:val="Standard"/>
    <w:link w:val="SprechblasentextZchn"/>
    <w:uiPriority w:val="99"/>
    <w:semiHidden/>
    <w:unhideWhenUsed/>
    <w:rsid w:val="004A0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8EE"/>
    <w:rPr>
      <w:rFonts w:ascii="Tahoma" w:hAnsi="Tahoma" w:cs="Tahoma"/>
      <w:sz w:val="16"/>
      <w:szCs w:val="16"/>
    </w:rPr>
  </w:style>
  <w:style w:type="table" w:styleId="Tabellenraster">
    <w:name w:val="Table Grid"/>
    <w:basedOn w:val="NormaleTabelle"/>
    <w:uiPriority w:val="59"/>
    <w:rsid w:val="0030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301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11</cp:revision>
  <dcterms:created xsi:type="dcterms:W3CDTF">2013-04-16T16:18:00Z</dcterms:created>
  <dcterms:modified xsi:type="dcterms:W3CDTF">2013-11-24T19:12:00Z</dcterms:modified>
</cp:coreProperties>
</file>